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D468E">
      <w:pPr>
        <w:pStyle w:val="Normale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bookmarkStart w:id="0" w:name="_GoBack"/>
      <w:bookmarkEnd w:id="0"/>
      <w:r>
        <w:rPr>
          <w:rFonts w:ascii="Calibri Light" w:hAnsi="Calibri Light" w:cs="Calibri Light"/>
          <w:sz w:val="40"/>
          <w:szCs w:val="40"/>
        </w:rPr>
        <w:t>Sindromi coronariche croniche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color w:val="666666"/>
          <w:sz w:val="20"/>
          <w:szCs w:val="20"/>
        </w:rPr>
      </w:pPr>
      <w:r>
        <w:rPr>
          <w:rFonts w:ascii="Calibri" w:hAnsi="Calibri" w:cs="Calibri"/>
          <w:color w:val="666666"/>
          <w:sz w:val="20"/>
          <w:szCs w:val="20"/>
        </w:rPr>
        <w:t>lunedì 16 settembre 2024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color w:val="666666"/>
          <w:sz w:val="20"/>
          <w:szCs w:val="20"/>
        </w:rPr>
      </w:pPr>
      <w:r>
        <w:rPr>
          <w:rFonts w:ascii="Calibri" w:hAnsi="Calibri" w:cs="Calibri"/>
          <w:color w:val="666666"/>
          <w:sz w:val="20"/>
          <w:szCs w:val="20"/>
        </w:rPr>
        <w:t>10:00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hyperlink r:id="rId5" w:history="1">
        <w:r>
          <w:rPr>
            <w:rStyle w:val="Collegamentoipertestuale"/>
            <w:rFonts w:ascii="Calibri" w:hAnsi="Calibri" w:cs="Calibri"/>
            <w:sz w:val="22"/>
            <w:szCs w:val="22"/>
          </w:rPr>
          <w:t>https://academic.oup.com/eurheartj/advance-article/doi/10.1093/eurheartj/ehae177/7743115?login=false</w:t>
        </w:r>
      </w:hyperlink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È necessario stimare la probabilità pre-test di ostruzione coronarica con il modello Risk Factor-weighted Clinical Likelihood e poi correggerlo con gli a</w:t>
      </w:r>
      <w:r>
        <w:rPr>
          <w:rFonts w:ascii="Calibri" w:hAnsi="Calibri" w:cs="Calibri"/>
          <w:b/>
          <w:bCs/>
          <w:sz w:val="22"/>
          <w:szCs w:val="22"/>
        </w:rPr>
        <w:t>ltri dati clinici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It is recommended to estimate the pre-test likelihood of obstructive epicardial CAD using the Risk Factor-weighted Clinical Likelihood model. </w:t>
      </w:r>
      <w:r>
        <w:rPr>
          <w:rFonts w:ascii="Calibri" w:hAnsi="Calibri" w:cs="Calibri"/>
          <w:b/>
          <w:bCs/>
          <w:sz w:val="22"/>
          <w:szCs w:val="22"/>
        </w:rPr>
        <w:t>I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It is recommended to use additional clinical data (e.g. examination of peripheral arteries, re</w:t>
      </w:r>
      <w:r>
        <w:rPr>
          <w:rFonts w:ascii="Calibri" w:hAnsi="Calibri" w:cs="Calibri"/>
          <w:sz w:val="22"/>
          <w:szCs w:val="22"/>
        </w:rPr>
        <w:t>sting ECG, resting echocardiography, presence of vascular calcifications on previously performed imaging tests) to adjust the estimate yielded by the Risk Factor-weighted Clinical Likelihood model.</w:t>
      </w:r>
      <w:r>
        <w:rPr>
          <w:rFonts w:ascii="Calibri" w:hAnsi="Calibri" w:cs="Calibri"/>
          <w:b/>
          <w:bCs/>
          <w:sz w:val="22"/>
          <w:szCs w:val="22"/>
        </w:rPr>
        <w:t xml:space="preserve"> I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Se il modello Risk Factor-weighted Clinical Likelihood</w:t>
      </w:r>
      <w:r>
        <w:rPr>
          <w:rFonts w:ascii="Calibri" w:hAnsi="Calibri" w:cs="Calibri"/>
          <w:b/>
          <w:bCs/>
          <w:sz w:val="22"/>
          <w:szCs w:val="22"/>
        </w:rPr>
        <w:t xml:space="preserve"> dà 5-15% (o anche meno), si dovrebbe passare al Calcium score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 individuals with a low (&gt;5%–15%) pre-test likelihood of obstructive CAD, CACS should be considered to reclassify subjects and to identify more individuals with very low (≤5%) CACS-weighted c</w:t>
      </w:r>
      <w:r>
        <w:rPr>
          <w:rFonts w:ascii="Calibri" w:hAnsi="Calibri" w:cs="Calibri"/>
          <w:sz w:val="22"/>
          <w:szCs w:val="22"/>
        </w:rPr>
        <w:t>linical likelihood.</w:t>
      </w:r>
      <w:r>
        <w:rPr>
          <w:rFonts w:ascii="Calibri" w:hAnsi="Calibri" w:cs="Calibri"/>
          <w:b/>
          <w:bCs/>
          <w:sz w:val="22"/>
          <w:szCs w:val="22"/>
        </w:rPr>
        <w:t xml:space="preserve"> IIa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In realtà c'è un sovrapporsi di numeri, perché poi dice che se il Risk Factor weighted CL è 5-50% occorre fare la TC, se è 15-85% occorre eco-stress (anche con microbolle), e dove possibile anche perfusione mediante PET e RM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 in</w:t>
      </w:r>
      <w:r>
        <w:rPr>
          <w:rFonts w:ascii="Calibri" w:hAnsi="Calibri" w:cs="Calibri"/>
          <w:sz w:val="22"/>
          <w:szCs w:val="22"/>
        </w:rPr>
        <w:t xml:space="preserve">dividuals with suspected CCS and low or moderate (&gt;5%–50%) pre-test likelihood of obstructive CAD, CCTA is recommended to diagnose obstructive CAD and to estimate the risk of MACE </w:t>
      </w:r>
      <w:r>
        <w:rPr>
          <w:rFonts w:ascii="Calibri" w:hAnsi="Calibri" w:cs="Calibri"/>
          <w:b/>
          <w:bCs/>
          <w:sz w:val="22"/>
          <w:szCs w:val="22"/>
        </w:rPr>
        <w:t>I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 individuals with suspected CCS and moderate or high (&gt;15%–85%) pre-test</w:t>
      </w:r>
      <w:r>
        <w:rPr>
          <w:rFonts w:ascii="Calibri" w:hAnsi="Calibri" w:cs="Calibri"/>
          <w:sz w:val="22"/>
          <w:szCs w:val="22"/>
        </w:rPr>
        <w:t xml:space="preserve"> likelihood of obstructive CAD, stress echocardiography is recommended to diagnose myocardial ischaemia and to estimate the risk of MACE. </w:t>
      </w:r>
      <w:r>
        <w:rPr>
          <w:rFonts w:ascii="Calibri" w:hAnsi="Calibri" w:cs="Calibri"/>
          <w:b/>
          <w:bCs/>
          <w:sz w:val="22"/>
          <w:szCs w:val="22"/>
        </w:rPr>
        <w:t>I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During stress echocardiography, when two or more contiguous myocardial segments are not visualized, it is recommende</w:t>
      </w:r>
      <w:r>
        <w:rPr>
          <w:rFonts w:ascii="Calibri" w:hAnsi="Calibri" w:cs="Calibri"/>
          <w:sz w:val="22"/>
          <w:szCs w:val="22"/>
        </w:rPr>
        <w:t xml:space="preserve">d to use commercially available intravenous ultrasound contrast agents (microbubbles) to improve diagnostic accuracy. </w:t>
      </w:r>
      <w:r>
        <w:rPr>
          <w:rFonts w:ascii="Calibri" w:hAnsi="Calibri" w:cs="Calibri"/>
          <w:b/>
          <w:bCs/>
          <w:sz w:val="22"/>
          <w:szCs w:val="22"/>
        </w:rPr>
        <w:t>I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During stress echocardiography, myocardial perfusion using commercially available intravenous ultrasound contrast agents (microbubbles) </w:t>
      </w:r>
      <w:r>
        <w:rPr>
          <w:rFonts w:ascii="Calibri" w:hAnsi="Calibri" w:cs="Calibri"/>
          <w:sz w:val="22"/>
          <w:szCs w:val="22"/>
        </w:rPr>
        <w:t xml:space="preserve">is recommended to improve diagnostic accuracy and to refine risk stratification beyond wall motion. </w:t>
      </w:r>
      <w:r>
        <w:rPr>
          <w:rFonts w:ascii="Calibri" w:hAnsi="Calibri" w:cs="Calibri"/>
          <w:b/>
          <w:bCs/>
          <w:sz w:val="22"/>
          <w:szCs w:val="22"/>
        </w:rPr>
        <w:t>I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 individuals with suspected CCS and moderate or high (&gt;15%–85%) pre-test likelihood of obstructive CAD, SPECT or, preferably, PET myocardial perfusion i</w:t>
      </w:r>
      <w:r>
        <w:rPr>
          <w:rFonts w:ascii="Calibri" w:hAnsi="Calibri" w:cs="Calibri"/>
          <w:sz w:val="22"/>
          <w:szCs w:val="22"/>
        </w:rPr>
        <w:t xml:space="preserve">maging... </w:t>
      </w:r>
      <w:r>
        <w:rPr>
          <w:rFonts w:ascii="Calibri" w:hAnsi="Calibri" w:cs="Calibri"/>
          <w:b/>
          <w:bCs/>
          <w:sz w:val="22"/>
          <w:szCs w:val="22"/>
        </w:rPr>
        <w:t>I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 individuals with suspected CCS and moderate or high (&gt;15%–85%) pre-test likelihood of obstructive CAD, CMR perfusion imaging is recommended to diagnose and quantify myocardial ischaemia and/or scar and estimate the risk of MACE. </w:t>
      </w:r>
      <w:r>
        <w:rPr>
          <w:rFonts w:ascii="Calibri" w:hAnsi="Calibri" w:cs="Calibri"/>
          <w:b/>
          <w:bCs/>
          <w:sz w:val="22"/>
          <w:szCs w:val="22"/>
        </w:rPr>
        <w:t>I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Necessar</w:t>
      </w:r>
      <w:r>
        <w:rPr>
          <w:rFonts w:ascii="Calibri" w:hAnsi="Calibri" w:cs="Calibri"/>
          <w:b/>
          <w:bCs/>
          <w:sz w:val="22"/>
          <w:szCs w:val="22"/>
        </w:rPr>
        <w:t>ia durante la coronarografia la valutazione funzionale delle stenosi intermedie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When ICA is indicated, it is recommended to have coronary pressure assessment available and to use it to evaluate the functional severity of intermediate non-left main stem ste</w:t>
      </w:r>
      <w:r>
        <w:rPr>
          <w:rFonts w:ascii="Calibri" w:hAnsi="Calibri" w:cs="Calibri"/>
          <w:sz w:val="22"/>
          <w:szCs w:val="22"/>
        </w:rPr>
        <w:t xml:space="preserve">noses prior to revascularization. </w:t>
      </w:r>
      <w:r>
        <w:rPr>
          <w:rFonts w:ascii="Calibri" w:hAnsi="Calibri" w:cs="Calibri"/>
          <w:b/>
          <w:bCs/>
          <w:sz w:val="22"/>
          <w:szCs w:val="22"/>
        </w:rPr>
        <w:t>I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[Per inciso – non da linee guida – ricordo qui una descrizione delle prove funzionali:</w:t>
      </w:r>
    </w:p>
    <w:p w:rsidR="00000000" w:rsidRDefault="005D468E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i/>
          <w:iCs/>
          <w:sz w:val="22"/>
          <w:szCs w:val="22"/>
        </w:rPr>
        <w:t>FFR: rapporto tra pressione a valle della stenosi e pressione a monte durante iperemia. Se &lt; 0,8 c'è stenosi critica]</w:t>
      </w:r>
    </w:p>
    <w:p w:rsidR="00000000" w:rsidRDefault="005D468E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i/>
          <w:iCs/>
          <w:sz w:val="22"/>
          <w:szCs w:val="22"/>
        </w:rPr>
        <w:t>iFR: rapporto p</w:t>
      </w:r>
      <w:r>
        <w:rPr>
          <w:rFonts w:ascii="Calibri" w:eastAsia="Times New Roman" w:hAnsi="Calibri" w:cs="Calibri"/>
          <w:i/>
          <w:iCs/>
          <w:sz w:val="22"/>
          <w:szCs w:val="22"/>
        </w:rPr>
        <w:t>ressione a valle della stenosi rispetto alla diastolica in aorta. Se &lt;0,89 c'è stenosi critica. Quindi non occorre iperemia]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Passare direttamente a coronarografia se sospetto di angina instabile a basso carico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In individuals with </w:t>
      </w:r>
      <w:r>
        <w:rPr>
          <w:rFonts w:ascii="Calibri" w:hAnsi="Calibri" w:cs="Calibri"/>
          <w:sz w:val="22"/>
          <w:szCs w:val="22"/>
        </w:rPr>
        <w:t>de novo symptoms highly suggestive of obstructive CAD that occur at a low level of exercise, ICA with a view towards revascularization is recommended as first diagnostic test after clinical assessment by a cardiologist.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Ivabradina solo in caso ci sia anc</w:t>
      </w:r>
      <w:r>
        <w:rPr>
          <w:rFonts w:ascii="Calibri" w:hAnsi="Calibri" w:cs="Calibri"/>
          <w:b/>
          <w:bCs/>
          <w:sz w:val="22"/>
          <w:szCs w:val="22"/>
        </w:rPr>
        <w:t>he FE &lt;40 o scompenso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Ivabradine is not recommended as add-on therapy in patients with CCS, LVEF &gt;40%, and no clinical heart failure. III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Nei coronaropatici va data aspirina in monoterapia e non clopidogrel, a meno che non abbiano avuto angioplastica o i</w:t>
      </w:r>
      <w:r>
        <w:rPr>
          <w:rFonts w:ascii="Calibri" w:hAnsi="Calibri" w:cs="Calibri"/>
          <w:b/>
          <w:bCs/>
          <w:sz w:val="22"/>
          <w:szCs w:val="22"/>
        </w:rPr>
        <w:t>nfarto in passato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 CCS patients with a prior MI or PCI, clopidogrel 75 mg daily is recommended as a safe and effective alternative to aspirin monotherapy. </w:t>
      </w:r>
      <w:r>
        <w:rPr>
          <w:rFonts w:ascii="Calibri" w:hAnsi="Calibri" w:cs="Calibri"/>
          <w:b/>
          <w:bCs/>
          <w:sz w:val="22"/>
          <w:szCs w:val="22"/>
        </w:rPr>
        <w:t>I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After CABG, aspirin 75–100 mg daily is recommended lifelong. </w:t>
      </w:r>
      <w:r>
        <w:rPr>
          <w:rFonts w:ascii="Calibri" w:hAnsi="Calibri" w:cs="Calibri"/>
          <w:b/>
          <w:bCs/>
          <w:sz w:val="22"/>
          <w:szCs w:val="22"/>
        </w:rPr>
        <w:t>I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 CCS patients </w:t>
      </w:r>
      <w:r>
        <w:rPr>
          <w:rFonts w:ascii="Calibri" w:hAnsi="Calibri" w:cs="Calibri"/>
          <w:sz w:val="22"/>
          <w:szCs w:val="22"/>
        </w:rPr>
        <w:t xml:space="preserve">without prior MI or revascularization but with evidence of significant obstructive CAD, aspirin 75–100 mg daily is recommended lifelong. </w:t>
      </w:r>
      <w:r>
        <w:rPr>
          <w:rFonts w:ascii="Calibri" w:hAnsi="Calibri" w:cs="Calibri"/>
          <w:b/>
          <w:bCs/>
          <w:sz w:val="22"/>
          <w:szCs w:val="22"/>
        </w:rPr>
        <w:t>I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Se intolleranti a Statine, e l'ezetimibe non raggiunge il target, si deve dare acido bempedoico. Se invece non sono</w:t>
      </w:r>
      <w:r>
        <w:rPr>
          <w:rFonts w:ascii="Calibri" w:hAnsi="Calibri" w:cs="Calibri"/>
          <w:b/>
          <w:bCs/>
          <w:sz w:val="22"/>
          <w:szCs w:val="22"/>
        </w:rPr>
        <w:t xml:space="preserve"> intolleranti ma  non raggiungono il target, è preferibile dare i PCSK9 (classe I) ma comunque l'acido bempedoico è in classe IIa. (Direi: prima dei PCSK9 siamo autorizzati a dare sempre acido bempedoico)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 patients who are statin intolerant and do not a</w:t>
      </w:r>
      <w:r>
        <w:rPr>
          <w:rFonts w:ascii="Calibri" w:hAnsi="Calibri" w:cs="Calibri"/>
          <w:sz w:val="22"/>
          <w:szCs w:val="22"/>
        </w:rPr>
        <w:t xml:space="preserve">chieve their goal on ezetimibe, combination with bempedoic acid is recommended. </w:t>
      </w:r>
      <w:r>
        <w:rPr>
          <w:rFonts w:ascii="Calibri" w:hAnsi="Calibri" w:cs="Calibri"/>
          <w:b/>
          <w:bCs/>
          <w:sz w:val="22"/>
          <w:szCs w:val="22"/>
        </w:rPr>
        <w:t>I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For patients who do not achieve their goal on a maximum tolerated dose of statin and ezetimibe, combination with bempedoic acid should be considered. </w:t>
      </w:r>
      <w:r>
        <w:rPr>
          <w:rFonts w:ascii="Calibri" w:hAnsi="Calibri" w:cs="Calibri"/>
          <w:b/>
          <w:bCs/>
          <w:sz w:val="22"/>
          <w:szCs w:val="22"/>
        </w:rPr>
        <w:t>IIa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For patients who do </w:t>
      </w:r>
      <w:r>
        <w:rPr>
          <w:rFonts w:ascii="Calibri" w:hAnsi="Calibri" w:cs="Calibri"/>
          <w:sz w:val="22"/>
          <w:szCs w:val="22"/>
        </w:rPr>
        <w:t xml:space="preserve">not achieve their goal on a maximum tolerated dose of statin and ezetimibe, combination with a PCSK9 inhibitor is recommended </w:t>
      </w:r>
      <w:r>
        <w:rPr>
          <w:rFonts w:ascii="Calibri" w:hAnsi="Calibri" w:cs="Calibri"/>
          <w:b/>
          <w:bCs/>
          <w:sz w:val="22"/>
          <w:szCs w:val="22"/>
        </w:rPr>
        <w:t>I.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Nei diabetici 2 si devono dare Gliflozine e/o GLP1 (I). Nei non diabetici se sovrappeso o obesi si dovrebbe dare semaglutide </w:t>
      </w:r>
      <w:r>
        <w:rPr>
          <w:rFonts w:ascii="Calibri" w:hAnsi="Calibri" w:cs="Calibri"/>
          <w:b/>
          <w:bCs/>
          <w:sz w:val="22"/>
          <w:szCs w:val="22"/>
        </w:rPr>
        <w:t>(IIa) (non stiamo parlando dello scompenso, in cui viceversa le gliflozine si danno anche ai non diabetici e non in sovrappeso)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SGLT2 inhibitors with proven CV benefit are recommended in patients with T2DM and CCS to reduce CV events, independent of baseli</w:t>
      </w:r>
      <w:r>
        <w:rPr>
          <w:rFonts w:ascii="Calibri" w:hAnsi="Calibri" w:cs="Calibri"/>
          <w:sz w:val="22"/>
          <w:szCs w:val="22"/>
        </w:rPr>
        <w:t xml:space="preserve">ne or target HbA1c and independent of concomitant glucose-lowering medication. </w:t>
      </w:r>
      <w:r>
        <w:rPr>
          <w:rFonts w:ascii="Calibri" w:hAnsi="Calibri" w:cs="Calibri"/>
          <w:b/>
          <w:bCs/>
          <w:sz w:val="22"/>
          <w:szCs w:val="22"/>
        </w:rPr>
        <w:t>I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GLP-1 receptor agonist semaglutide should be considered in CCS patients without diabetes, but with overweight or obesity (BMI &gt;27 kg/m2), to reduce CV mortality, MI, or st</w:t>
      </w:r>
      <w:r>
        <w:rPr>
          <w:rFonts w:ascii="Calibri" w:hAnsi="Calibri" w:cs="Calibri"/>
          <w:sz w:val="22"/>
          <w:szCs w:val="22"/>
        </w:rPr>
        <w:t xml:space="preserve">roke. </w:t>
      </w:r>
      <w:r>
        <w:rPr>
          <w:rFonts w:ascii="Calibri" w:hAnsi="Calibri" w:cs="Calibri"/>
          <w:b/>
          <w:bCs/>
          <w:sz w:val="22"/>
          <w:szCs w:val="22"/>
        </w:rPr>
        <w:t>IIa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Si dovrebbe dare colchicina 0,5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 CCS patients with atherosclerotic CAD, low-dose colchicine (0.5 mg daily) should be considered to reduce myocardial infarction, stroke, and need for revascularization. </w:t>
      </w:r>
      <w:r>
        <w:rPr>
          <w:rFonts w:ascii="Calibri" w:hAnsi="Calibri" w:cs="Calibri"/>
          <w:b/>
          <w:bCs/>
          <w:sz w:val="22"/>
          <w:szCs w:val="22"/>
        </w:rPr>
        <w:t>IIa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PTCA su Tronco comune se Syntax sco</w:t>
      </w:r>
      <w:r>
        <w:rPr>
          <w:rFonts w:ascii="Calibri" w:hAnsi="Calibri" w:cs="Calibri"/>
          <w:b/>
          <w:bCs/>
          <w:sz w:val="22"/>
          <w:szCs w:val="22"/>
        </w:rPr>
        <w:t>re ≤22 o anche se Syntax score 23-32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 CCS patients with significant left main coronary stenosis of low complexity (SYNTAX score ≤22), in whom PCI can provide equivalent completeness of revascularization to that of CABG, PCI is recommended as an alternati</w:t>
      </w:r>
      <w:r>
        <w:rPr>
          <w:rFonts w:ascii="Calibri" w:hAnsi="Calibri" w:cs="Calibri"/>
          <w:sz w:val="22"/>
          <w:szCs w:val="22"/>
        </w:rPr>
        <w:t xml:space="preserve">ve to CABG, given its lower invasiveness and noninferior survival. </w:t>
      </w:r>
      <w:r>
        <w:rPr>
          <w:rFonts w:ascii="Calibri" w:hAnsi="Calibri" w:cs="Calibri"/>
          <w:b/>
          <w:bCs/>
          <w:sz w:val="22"/>
          <w:szCs w:val="22"/>
        </w:rPr>
        <w:t>I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 CCS patients with significant left main coronary stenosis of intermediate complexity (SYNTAX score 23–32), in whom PCI can provide equivalent completeness of revascularization to that </w:t>
      </w:r>
      <w:r>
        <w:rPr>
          <w:rFonts w:ascii="Calibri" w:hAnsi="Calibri" w:cs="Calibri"/>
          <w:sz w:val="22"/>
          <w:szCs w:val="22"/>
        </w:rPr>
        <w:t xml:space="preserve">of CABG, PCI should be considered, given its lower invasiveness and non-inferior survival. </w:t>
      </w:r>
      <w:r>
        <w:rPr>
          <w:rFonts w:ascii="Calibri" w:hAnsi="Calibri" w:cs="Calibri"/>
          <w:b/>
          <w:bCs/>
          <w:sz w:val="22"/>
          <w:szCs w:val="22"/>
        </w:rPr>
        <w:t>IIa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Nei diabetici multivasali sintomatici in terapia meglio il bypass, salvo alto rischio chirurgico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 CCS patients with </w:t>
      </w:r>
      <w:r>
        <w:rPr>
          <w:rFonts w:ascii="Calibri" w:hAnsi="Calibri" w:cs="Calibri"/>
          <w:sz w:val="22"/>
          <w:szCs w:val="22"/>
        </w:rPr>
        <w:t>significant multivessel disease and diabetes, with insufficient response to guideline-directed medical therapy, CABG is recommended over medical therapy alone and over PCI to improve symptoms and outcomes.</w:t>
      </w:r>
      <w:r>
        <w:rPr>
          <w:rFonts w:ascii="Calibri" w:hAnsi="Calibri" w:cs="Calibri"/>
          <w:b/>
          <w:bCs/>
          <w:sz w:val="22"/>
          <w:szCs w:val="22"/>
        </w:rPr>
        <w:t xml:space="preserve"> I.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In CCS patients at very high surgical risk, PCI</w:t>
      </w:r>
      <w:r>
        <w:rPr>
          <w:rFonts w:ascii="Calibri" w:hAnsi="Calibri" w:cs="Calibri"/>
          <w:sz w:val="22"/>
          <w:szCs w:val="22"/>
        </w:rPr>
        <w:t xml:space="preserve"> should be considered over medical therapy alone to reduce symptoms and adverse outcomes. </w:t>
      </w:r>
      <w:r>
        <w:rPr>
          <w:rFonts w:ascii="Calibri" w:hAnsi="Calibri" w:cs="Calibri"/>
          <w:b/>
          <w:bCs/>
          <w:sz w:val="22"/>
          <w:szCs w:val="22"/>
        </w:rPr>
        <w:t>IIa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Scompenso e sospetto di malattia coronarica: se FE ≤35 , direttamente CGF, se FE&gt;35 e pre-test 5-50%, TAC coronarica o test di imaging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 HF patients with LVEF </w:t>
      </w:r>
      <w:r>
        <w:rPr>
          <w:rFonts w:ascii="Calibri" w:hAnsi="Calibri" w:cs="Calibri"/>
          <w:sz w:val="22"/>
          <w:szCs w:val="22"/>
        </w:rPr>
        <w:t xml:space="preserve">≤35% in whom obstructive CAD is suspected, ICA is recommended with a view towards improving prognosis by CABG, taking into account the risk-to-benefit ratio of the procedures. </w:t>
      </w:r>
      <w:r>
        <w:rPr>
          <w:rFonts w:ascii="Calibri" w:hAnsi="Calibri" w:cs="Calibri"/>
          <w:b/>
          <w:bCs/>
          <w:sz w:val="22"/>
          <w:szCs w:val="22"/>
        </w:rPr>
        <w:t xml:space="preserve">I </w:t>
      </w:r>
      <w:r>
        <w:rPr>
          <w:rFonts w:ascii="Calibri" w:hAnsi="Calibri" w:cs="Calibri"/>
          <w:sz w:val="22"/>
          <w:szCs w:val="22"/>
        </w:rPr>
        <w:t>In HF patients with LVEF &gt;35% and suspected CCS with low or moderate (&gt;5%–50%)</w:t>
      </w:r>
      <w:r>
        <w:rPr>
          <w:rFonts w:ascii="Calibri" w:hAnsi="Calibri" w:cs="Calibri"/>
          <w:sz w:val="22"/>
          <w:szCs w:val="22"/>
        </w:rPr>
        <w:t xml:space="preserve"> pre-test likelihood of obstructive CAD, CCTA or functional imaging is recommended. </w:t>
      </w:r>
      <w:r>
        <w:rPr>
          <w:rFonts w:ascii="Calibri" w:hAnsi="Calibri" w:cs="Calibri"/>
          <w:b/>
          <w:bCs/>
          <w:sz w:val="22"/>
          <w:szCs w:val="22"/>
        </w:rPr>
        <w:t>I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Entresto a tutti se scompenso e ischemia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Sacubitril/valsartan is recommended as a replacement for an ACE-I or ARB in CCS patients with HFrEF to reduce the risk of heart</w:t>
      </w:r>
      <w:r>
        <w:rPr>
          <w:rFonts w:ascii="Calibri" w:hAnsi="Calibri" w:cs="Calibri"/>
          <w:sz w:val="22"/>
          <w:szCs w:val="22"/>
        </w:rPr>
        <w:t xml:space="preserve"> failure hospitalization and death. </w:t>
      </w:r>
      <w:r>
        <w:rPr>
          <w:rFonts w:ascii="Calibri" w:hAnsi="Calibri" w:cs="Calibri"/>
          <w:b/>
          <w:bCs/>
          <w:sz w:val="22"/>
          <w:szCs w:val="22"/>
        </w:rPr>
        <w:t>I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In caso di angina (ANOCA) o ischemia (INOCA) con coronarie senza stenosi critiche occorrerebbero test provocativi per decidere tra Ace-inibitori (IIa) (per disfunzione endoteliale), beta-bloccanti (IIa) (per ridotta </w:t>
      </w:r>
      <w:r>
        <w:rPr>
          <w:rFonts w:ascii="Calibri" w:hAnsi="Calibri" w:cs="Calibri"/>
          <w:b/>
          <w:bCs/>
          <w:sz w:val="22"/>
          <w:szCs w:val="22"/>
        </w:rPr>
        <w:t>riserva coronarica), nitrati (IIa) e calcioantagonisti (I) (per vasospasmo)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 symptomatic patients with ANOCA/INOCA, medical therapy based on coronary functional test results should be considered to improve symptoms and quality of life. </w:t>
      </w:r>
      <w:r>
        <w:rPr>
          <w:rFonts w:ascii="Calibri" w:hAnsi="Calibri" w:cs="Calibri"/>
          <w:b/>
          <w:bCs/>
          <w:sz w:val="22"/>
          <w:szCs w:val="22"/>
        </w:rPr>
        <w:t>IIaA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 the manag</w:t>
      </w:r>
      <w:r>
        <w:rPr>
          <w:rFonts w:ascii="Calibri" w:hAnsi="Calibri" w:cs="Calibri"/>
          <w:sz w:val="22"/>
          <w:szCs w:val="22"/>
        </w:rPr>
        <w:t xml:space="preserve">ement of endothelial dysfunction, ACE-I should be considered for symptom control. </w:t>
      </w:r>
      <w:r>
        <w:rPr>
          <w:rFonts w:ascii="Calibri" w:hAnsi="Calibri" w:cs="Calibri"/>
          <w:b/>
          <w:bCs/>
          <w:sz w:val="22"/>
          <w:szCs w:val="22"/>
        </w:rPr>
        <w:t>IIa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For the management of microvascular angina associated with reduced coronary/myocardial blood flow reserve, beta-blockers should be considered for symptom control. </w:t>
      </w:r>
      <w:r>
        <w:rPr>
          <w:rFonts w:ascii="Calibri" w:hAnsi="Calibri" w:cs="Calibri"/>
          <w:b/>
          <w:bCs/>
          <w:sz w:val="22"/>
          <w:szCs w:val="22"/>
        </w:rPr>
        <w:t>IIa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</w:t>
      </w:r>
      <w:r>
        <w:rPr>
          <w:rFonts w:ascii="Calibri" w:hAnsi="Calibri" w:cs="Calibri"/>
          <w:sz w:val="22"/>
          <w:szCs w:val="22"/>
        </w:rPr>
        <w:t xml:space="preserve"> the treatment of isolated vasospastic angina: calcium channel blockers are recommended to control symptoms and to prevent ischaemia and potentially fatal complications </w:t>
      </w:r>
      <w:r>
        <w:rPr>
          <w:rFonts w:ascii="Calibri" w:hAnsi="Calibri" w:cs="Calibri"/>
          <w:b/>
          <w:bCs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 xml:space="preserve">; nitrates should be considered to prevent recurrent episodes. </w:t>
      </w:r>
      <w:r>
        <w:rPr>
          <w:rFonts w:ascii="Calibri" w:hAnsi="Calibri" w:cs="Calibri"/>
          <w:b/>
          <w:bCs/>
          <w:sz w:val="22"/>
          <w:szCs w:val="22"/>
        </w:rPr>
        <w:t>IIa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Dopo angioplastic</w:t>
      </w:r>
      <w:r>
        <w:rPr>
          <w:rFonts w:ascii="Calibri" w:hAnsi="Calibri" w:cs="Calibri"/>
          <w:b/>
          <w:bCs/>
          <w:sz w:val="22"/>
          <w:szCs w:val="22"/>
        </w:rPr>
        <w:t>a (al di fuori dalle SCA) la duplice è per 6 mesi (1-3 mesi se ad alto rischio emorragico)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 CCS patients with no indication for oral anticoagulation, DAPT consisting of aspirin 75–100 mg and clopidogrel 75 mg daily for up to 6 months is recommended as th</w:t>
      </w:r>
      <w:r>
        <w:rPr>
          <w:rFonts w:ascii="Calibri" w:hAnsi="Calibri" w:cs="Calibri"/>
          <w:sz w:val="22"/>
          <w:szCs w:val="22"/>
        </w:rPr>
        <w:t>e default antithrombotic strategy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after PCI-stenting. </w:t>
      </w:r>
      <w:r>
        <w:rPr>
          <w:rFonts w:ascii="Calibri" w:hAnsi="Calibri" w:cs="Calibri"/>
          <w:b/>
          <w:bCs/>
          <w:sz w:val="22"/>
          <w:szCs w:val="22"/>
        </w:rPr>
        <w:t>I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 patients at high bleeding risk but not at high ischaemic risk, it is recommended to discontinue DAPT 1–3 months after PCI and continue single antiplatelet therapy. </w:t>
      </w:r>
      <w:r>
        <w:rPr>
          <w:rFonts w:ascii="Calibri" w:hAnsi="Calibri" w:cs="Calibri"/>
          <w:b/>
          <w:bCs/>
          <w:sz w:val="22"/>
          <w:szCs w:val="22"/>
        </w:rPr>
        <w:t>I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Se fibrillante, in cronico no</w:t>
      </w:r>
      <w:r>
        <w:rPr>
          <w:rFonts w:ascii="Calibri" w:hAnsi="Calibri" w:cs="Calibri"/>
          <w:b/>
          <w:bCs/>
          <w:sz w:val="22"/>
          <w:szCs w:val="22"/>
        </w:rPr>
        <w:t>n dare duplice ma solo anticoagulante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 CCS patients with a long-term indication for OAC, an AF-therapeutic-dose of VKA alone or, preferably, of DOAC alone (unless contraindicated) is recommended lifelong. </w:t>
      </w:r>
      <w:r>
        <w:rPr>
          <w:rFonts w:ascii="Calibri" w:hAnsi="Calibri" w:cs="Calibri"/>
          <w:b/>
          <w:bCs/>
          <w:sz w:val="22"/>
          <w:szCs w:val="22"/>
        </w:rPr>
        <w:t>I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Se fibrillante, dopo angioplastica dare tripl</w:t>
      </w:r>
      <w:r>
        <w:rPr>
          <w:rFonts w:ascii="Calibri" w:hAnsi="Calibri" w:cs="Calibri"/>
          <w:b/>
          <w:bCs/>
          <w:sz w:val="22"/>
          <w:szCs w:val="22"/>
        </w:rPr>
        <w:t>ice per una settimana (1 mese se ad alto rischio trombotico), e poi duplice (con Clopidogrel) fino a 6 mesi (anche 12 se ad alto rischio ischemico)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After uncomplicated PCI in CCS patients with concomitant indication for OAC: early cessation of aspirin (≤1 </w:t>
      </w:r>
      <w:r>
        <w:rPr>
          <w:rFonts w:ascii="Calibri" w:hAnsi="Calibri" w:cs="Calibri"/>
          <w:sz w:val="22"/>
          <w:szCs w:val="22"/>
        </w:rPr>
        <w:t xml:space="preserve">week); followed by continuation of OAC and clopidogrel: up to 6 months in patients not at high ischaemic risk or up to 12 months in patients at high ischaemic risk; followed by OAC alone; is recommended. </w:t>
      </w:r>
      <w:r>
        <w:rPr>
          <w:rFonts w:ascii="Calibri" w:hAnsi="Calibri" w:cs="Calibri"/>
          <w:b/>
          <w:bCs/>
          <w:sz w:val="22"/>
          <w:szCs w:val="22"/>
        </w:rPr>
        <w:t>I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Continuation of aspirin up to 1 month after PCI, i</w:t>
      </w:r>
      <w:r>
        <w:rPr>
          <w:rFonts w:ascii="Calibri" w:hAnsi="Calibri" w:cs="Calibri"/>
          <w:sz w:val="22"/>
          <w:szCs w:val="22"/>
        </w:rPr>
        <w:t xml:space="preserve">n addition to OAC and clopidogrel, should be considered in patients at high thrombotic risk or with anatomical/procedural characteristics judged to outweigh the bleeding risk. </w:t>
      </w:r>
      <w:r>
        <w:rPr>
          <w:rFonts w:ascii="Calibri" w:hAnsi="Calibri" w:cs="Calibri"/>
          <w:b/>
          <w:bCs/>
          <w:sz w:val="22"/>
          <w:szCs w:val="22"/>
        </w:rPr>
        <w:t>IIa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Se multivasali e con FE &lt; 35, riservare l'angioplastica (IIb) solo se ad a</w:t>
      </w:r>
      <w:r>
        <w:rPr>
          <w:rFonts w:ascii="Calibri" w:hAnsi="Calibri" w:cs="Calibri"/>
          <w:b/>
          <w:bCs/>
          <w:sz w:val="22"/>
          <w:szCs w:val="22"/>
        </w:rPr>
        <w:t>lto rischio chirurgico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 selected CCS patients with functionally significant MVD and LVEF ≤35% who are at high surgical risk or not operable, PCI may be considered as an alternative to CABG. </w:t>
      </w:r>
      <w:r>
        <w:rPr>
          <w:rFonts w:ascii="Calibri" w:hAnsi="Calibri" w:cs="Calibri"/>
          <w:b/>
          <w:bCs/>
          <w:sz w:val="22"/>
          <w:szCs w:val="22"/>
        </w:rPr>
        <w:t>IIb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Se non è coinvolta la discendente anteriore </w:t>
      </w:r>
      <w:r>
        <w:rPr>
          <w:rFonts w:ascii="Calibri" w:hAnsi="Calibri" w:cs="Calibri"/>
          <w:b/>
          <w:bCs/>
          <w:sz w:val="22"/>
          <w:szCs w:val="22"/>
        </w:rPr>
        <w:t>prossimale, e i farmaci non eliminano i sintomi, l'angioplastica può risolvere questi ma non migliora la prognosi (mi chiedo a cosa serva l'angioplastica nelle coronaropatie asintomatiche che non coinvolgano la discendente anteriore prossimale)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In CCS pati</w:t>
      </w:r>
      <w:r>
        <w:rPr>
          <w:rFonts w:ascii="Calibri" w:hAnsi="Calibri" w:cs="Calibri"/>
          <w:sz w:val="22"/>
          <w:szCs w:val="22"/>
        </w:rPr>
        <w:t xml:space="preserve">ents with significant single- or double-vessel disease involving the proximal LAD and insufficient response to guideline-directed medical therapy, CABG or PCI is recommended over medical therapy alone to improve symptoms and outcomes. </w:t>
      </w:r>
      <w:r>
        <w:rPr>
          <w:rFonts w:ascii="Calibri" w:hAnsi="Calibri" w:cs="Calibri"/>
          <w:b/>
          <w:bCs/>
          <w:sz w:val="22"/>
          <w:szCs w:val="22"/>
        </w:rPr>
        <w:t>I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 symptomatic CCS </w:t>
      </w:r>
      <w:r>
        <w:rPr>
          <w:rFonts w:ascii="Calibri" w:hAnsi="Calibri" w:cs="Calibri"/>
          <w:sz w:val="22"/>
          <w:szCs w:val="22"/>
        </w:rPr>
        <w:t xml:space="preserve">patients with single- or double-vessel disease not involving the proximal LAD and with insufficient response to guideline-directed medical therapy, PCI is recommended to improve symptoms. </w:t>
      </w:r>
      <w:r>
        <w:rPr>
          <w:rFonts w:ascii="Calibri" w:hAnsi="Calibri" w:cs="Calibri"/>
          <w:b/>
          <w:bCs/>
          <w:sz w:val="22"/>
          <w:szCs w:val="22"/>
        </w:rPr>
        <w:t>I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Non hanno valore le alterazioni ST nelle aritmie sopraventricola</w:t>
      </w:r>
      <w:r>
        <w:rPr>
          <w:rFonts w:ascii="Calibri" w:hAnsi="Calibri" w:cs="Calibri"/>
          <w:b/>
          <w:bCs/>
          <w:sz w:val="22"/>
          <w:szCs w:val="22"/>
        </w:rPr>
        <w:t>ri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Using ST-segment deviations during supraventricular tachyarrhythmias, particularly during re-entrant atrioventricular tachycardias, per se, as reliable evidence of obstructive CAD, is not recommended. </w:t>
      </w:r>
      <w:r>
        <w:rPr>
          <w:rFonts w:ascii="Calibri" w:hAnsi="Calibri" w:cs="Calibri"/>
          <w:b/>
          <w:bCs/>
          <w:sz w:val="22"/>
          <w:szCs w:val="22"/>
        </w:rPr>
        <w:t>III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Risk Factor-weighted Clinical Likelihood model</w:t>
      </w:r>
      <w:r>
        <w:rPr>
          <w:rFonts w:ascii="Calibri" w:hAnsi="Calibri" w:cs="Calibri"/>
          <w:b/>
          <w:bCs/>
          <w:sz w:val="22"/>
          <w:szCs w:val="22"/>
        </w:rPr>
        <w:t xml:space="preserve"> (il risultato è in percentuale di probabilità di malattia coronarica)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Punteggio sui sintomi (0-3):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Dolore: 1 punto se tipico come sede +1 se aggravato da stress fisico o emotivo +1 se passa con riposo o nitrati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Dispnea: 2 punti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Fattori di rischio (0-5):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 punto per ognuno (familiarità (55 aa padre, 65 aa madre, fumo anche pregresso, dislipidemia, ipertensione, diabete)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i/>
          <w:iCs/>
          <w:color w:val="FF0000"/>
          <w:sz w:val="22"/>
          <w:szCs w:val="22"/>
        </w:rPr>
        <w:t>Valutazione dello score incrociando sintomi e fattori di rischio con età e sesso:</w:t>
      </w:r>
    </w:p>
    <w:p w:rsidR="00000000" w:rsidRDefault="005D468E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i/>
          <w:iCs/>
          <w:sz w:val="22"/>
          <w:szCs w:val="22"/>
        </w:rPr>
        <w:t>Scegliere la colonna dei punti legati ai sintomi (da 0 a</w:t>
      </w:r>
      <w:r>
        <w:rPr>
          <w:rFonts w:ascii="Calibri" w:eastAsia="Times New Roman" w:hAnsi="Calibri" w:cs="Calibri"/>
          <w:i/>
          <w:iCs/>
          <w:sz w:val="22"/>
          <w:szCs w:val="22"/>
        </w:rPr>
        <w:t xml:space="preserve"> 3: angina tipica + dispnea fa 3 comunque)</w:t>
      </w:r>
    </w:p>
    <w:p w:rsidR="00000000" w:rsidRDefault="005D468E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i/>
          <w:iCs/>
          <w:sz w:val="22"/>
          <w:szCs w:val="22"/>
        </w:rPr>
        <w:t>scegliere la colonna del sesso</w:t>
      </w:r>
    </w:p>
    <w:p w:rsidR="00000000" w:rsidRDefault="005D468E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i/>
          <w:iCs/>
          <w:sz w:val="22"/>
          <w:szCs w:val="22"/>
        </w:rPr>
        <w:t>Scegliere la colonna dei fattori di rischio</w:t>
      </w:r>
    </w:p>
    <w:p w:rsidR="00000000" w:rsidRDefault="005D468E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i/>
          <w:iCs/>
          <w:sz w:val="22"/>
          <w:szCs w:val="22"/>
        </w:rPr>
        <w:t>Individuare la riga dell'età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5753100" cy="2286000"/>
            <wp:effectExtent l="0" t="0" r="0" b="0"/>
            <wp:docPr id="1" name="Immagine 1" descr="Symptom score &#10;2 points &#10;Number of &#10;risk factors &#10;Age 30-39 &#10;Age 40 一 49 &#10;Age 50-59 &#10;Age 60-69 &#10;Age 70-80 &#10;44 45 &#10;0- 丨 2-3 4 一 5 &#10;Clinicallikelihood: &#10;0 一 | POInt &#10;Men &#10;0- 丨 2 一 3 4-5 &#10;| 9 24 &#10;3 points &#10;Men &#10;0 一 2-3 4 一 5 &#10;Men &#10;0- 丨 2-3 4 一 5 &#10;0 一 | 2-3 4-5 &#10;| 6 &#10;0- 2-3 4 一 5 &#10;| 9 &#10;| 6 | 9 23 &#10;2 丨 &#10;32 &#10;44 &#10;20 &#10;27 &#10;35 &#10;22 &#10;27 &#10;33 &#10;39 &#10;| 7 &#10;22 27 &#10;Very low Low &#10;25 &#10;34 &#10;Moderate &#10;ESC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mptom score &#10;2 points &#10;Number of &#10;risk factors &#10;Age 30-39 &#10;Age 40 一 49 &#10;Age 50-59 &#10;Age 60-69 &#10;Age 70-80 &#10;44 45 &#10;0- 丨 2-3 4 一 5 &#10;Clinicallikelihood: &#10;0 一 | POInt &#10;Men &#10;0- 丨 2 一 3 4-5 &#10;| 9 24 &#10;3 points &#10;Men &#10;0 一 2-3 4 一 5 &#10;Men &#10;0- 丨 2-3 4 一 5 &#10;0 一 | 2-3 4-5 &#10;| 6 &#10;0- 2-3 4 一 5 &#10;| 9 &#10;| 6 | 9 23 &#10;2 丨 &#10;32 &#10;44 &#10;20 &#10;27 &#10;35 &#10;22 &#10;27 &#10;33 &#10;39 &#10;| 7 &#10;22 27 &#10;Very low Low &#10;25 &#10;34 &#10;Moderate &#10;ESC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Il test ergometrico serve solo a rimandare i test successivi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Non eseguire un test ergometrico se BBS o sotto </w:t>
      </w:r>
      <w:r>
        <w:rPr>
          <w:rFonts w:ascii="Calibri" w:hAnsi="Calibri" w:cs="Calibri"/>
          <w:b/>
          <w:bCs/>
          <w:sz w:val="22"/>
          <w:szCs w:val="22"/>
        </w:rPr>
        <w:t>digitale o l'ST è sotto di 1 mm già di base.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Non eseguire un test ergometrico per rule out di pazienti con 5-50% di probabilità pretest. Se il pre-test è 5-15% si può fare rinviando però a TC coronarica successiva (IIb).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Exercise ECG is not </w:t>
      </w:r>
      <w:r>
        <w:rPr>
          <w:rFonts w:ascii="Calibri" w:hAnsi="Calibri" w:cs="Calibri"/>
          <w:sz w:val="22"/>
          <w:szCs w:val="22"/>
        </w:rPr>
        <w:t xml:space="preserve">recommended for diagnostic purposes in patients with ≥0.1 mV ST-segment depression on resting ECG, left bundle branch block or who are being treated with digitalis. </w:t>
      </w:r>
      <w:r>
        <w:rPr>
          <w:rFonts w:ascii="Calibri" w:hAnsi="Calibri" w:cs="Calibri"/>
          <w:b/>
          <w:bCs/>
          <w:sz w:val="22"/>
          <w:szCs w:val="22"/>
        </w:rPr>
        <w:t>III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 individuals with a low or moderate (&gt;5%–50%) pre-test likelihood of obstructive CAD,</w:t>
      </w:r>
      <w:r>
        <w:rPr>
          <w:rFonts w:ascii="Calibri" w:hAnsi="Calibri" w:cs="Calibri"/>
          <w:sz w:val="22"/>
          <w:szCs w:val="22"/>
        </w:rPr>
        <w:t xml:space="preserve"> an exercise ECG is not recommended to rule out CAD if CCTA or functional imaging tests are available. </w:t>
      </w:r>
      <w:r>
        <w:rPr>
          <w:rFonts w:ascii="Calibri" w:hAnsi="Calibri" w:cs="Calibri"/>
          <w:b/>
          <w:bCs/>
          <w:sz w:val="22"/>
          <w:szCs w:val="22"/>
        </w:rPr>
        <w:t>III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 individuals with a low (&gt;5%–15%) pre-test likelihood of obstructive CAD, an exercise ECG may be considered to identify patients in whom further te</w:t>
      </w:r>
      <w:r>
        <w:rPr>
          <w:rFonts w:ascii="Calibri" w:hAnsi="Calibri" w:cs="Calibri"/>
          <w:sz w:val="22"/>
          <w:szCs w:val="22"/>
        </w:rPr>
        <w:t>sting can be deferred.</w:t>
      </w:r>
      <w:r>
        <w:rPr>
          <w:rFonts w:ascii="Calibri" w:hAnsi="Calibri" w:cs="Calibri"/>
          <w:b/>
          <w:bCs/>
          <w:sz w:val="22"/>
          <w:szCs w:val="22"/>
        </w:rPr>
        <w:t xml:space="preserve"> IIb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Exercise ECG may be considered as an alternative test to rule in and rule out CAD when non-invasive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imaging tests are unavailable. </w:t>
      </w:r>
      <w:r>
        <w:rPr>
          <w:rFonts w:ascii="Calibri" w:hAnsi="Calibri" w:cs="Calibri"/>
          <w:b/>
          <w:bCs/>
          <w:sz w:val="22"/>
          <w:szCs w:val="22"/>
        </w:rPr>
        <w:t>IIb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In summary, due to its low sensitivity (58%) and specificity (62%), exercise ECG testing has l</w:t>
      </w:r>
      <w:r>
        <w:rPr>
          <w:rFonts w:ascii="Calibri" w:hAnsi="Calibri" w:cs="Calibri"/>
          <w:sz w:val="22"/>
          <w:szCs w:val="22"/>
        </w:rPr>
        <w:t>ow diagnostic performance for the diagnosis of obstructive CAD and should mainly be used for risk stratification.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La TC comunque non va bene nell'insufficienza renale, nei grandi obesi, o con ritmo irregolare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CCTA is not recommended in patients with seve</w:t>
      </w:r>
      <w:r>
        <w:rPr>
          <w:rFonts w:ascii="Calibri" w:hAnsi="Calibri" w:cs="Calibri"/>
          <w:sz w:val="22"/>
          <w:szCs w:val="22"/>
        </w:rPr>
        <w:t>re renal failure (eGFR &lt;30 mL/min/1.73 m2), decompensated heart failure, extensive coronary calcification, fast irregular heart rate, severe obesity, inability to cooperate with breath-hold commands, or any other conditions that can make obtaining good ima</w:t>
      </w:r>
      <w:r>
        <w:rPr>
          <w:rFonts w:ascii="Calibri" w:hAnsi="Calibri" w:cs="Calibri"/>
          <w:sz w:val="22"/>
          <w:szCs w:val="22"/>
        </w:rPr>
        <w:t xml:space="preserve">ging quality unlikely. </w:t>
      </w:r>
      <w:r>
        <w:rPr>
          <w:rFonts w:ascii="Calibri" w:hAnsi="Calibri" w:cs="Calibri"/>
          <w:b/>
          <w:bCs/>
          <w:sz w:val="22"/>
          <w:szCs w:val="22"/>
        </w:rPr>
        <w:t>III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C'è un overlapping: TC coronarica con pretest 5-50%. Con pretest 15-85% eco-stress o scintigrafia (SPECT) o PET o stress RM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 individuals with suspected CCS and low or moderate (&gt;5%–50%) pre-test likelihood of obstructive CAD,</w:t>
      </w:r>
      <w:r>
        <w:rPr>
          <w:rFonts w:ascii="Calibri" w:hAnsi="Calibri" w:cs="Calibri"/>
          <w:sz w:val="22"/>
          <w:szCs w:val="22"/>
        </w:rPr>
        <w:t xml:space="preserve"> CCTA is recommended to diagnose obstructive CAD and to estimate the risk of MACE. </w:t>
      </w:r>
      <w:r>
        <w:rPr>
          <w:rFonts w:ascii="Calibri" w:hAnsi="Calibri" w:cs="Calibri"/>
          <w:b/>
          <w:bCs/>
          <w:sz w:val="22"/>
          <w:szCs w:val="22"/>
        </w:rPr>
        <w:t>I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 individuals with suspected CCS and moderate or high (&gt;15%–85%) pre-test likelihood of obstructive CAD, stress echocardiography is recommended to diagnose myocardial isc</w:t>
      </w:r>
      <w:r>
        <w:rPr>
          <w:rFonts w:ascii="Calibri" w:hAnsi="Calibri" w:cs="Calibri"/>
          <w:sz w:val="22"/>
          <w:szCs w:val="22"/>
        </w:rPr>
        <w:t xml:space="preserve">haemia and to estimate the risk of MACE. </w:t>
      </w:r>
      <w:r>
        <w:rPr>
          <w:rFonts w:ascii="Calibri" w:hAnsi="Calibri" w:cs="Calibri"/>
          <w:b/>
          <w:bCs/>
          <w:sz w:val="22"/>
          <w:szCs w:val="22"/>
        </w:rPr>
        <w:t>I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 individuals with suspected CCS and moderate or high (&gt;15%–85%) pre-test likelihood of obstructive CAD, stress SPECT or, preferably, PET myocardial perfusion imaging is recommended to: diagnose and quantify myoc</w:t>
      </w:r>
      <w:r>
        <w:rPr>
          <w:rFonts w:ascii="Calibri" w:hAnsi="Calibri" w:cs="Calibri"/>
          <w:sz w:val="22"/>
          <w:szCs w:val="22"/>
        </w:rPr>
        <w:t>ardial ischaemia and/or scar; estimate the risk of MACE; quantify myocardial blood flow (PET).</w:t>
      </w:r>
      <w:r>
        <w:rPr>
          <w:rFonts w:ascii="Calibri" w:hAnsi="Calibri" w:cs="Calibri"/>
          <w:b/>
          <w:bCs/>
          <w:sz w:val="22"/>
          <w:szCs w:val="22"/>
        </w:rPr>
        <w:t xml:space="preserve"> I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 individuals with suspected CCS and moderate or high (&gt;15%–85%) pre-test likelihood of obstructive CAD, stress CMR perfusion imaging is recommended to diagno</w:t>
      </w:r>
      <w:r>
        <w:rPr>
          <w:rFonts w:ascii="Calibri" w:hAnsi="Calibri" w:cs="Calibri"/>
          <w:sz w:val="22"/>
          <w:szCs w:val="22"/>
        </w:rPr>
        <w:t xml:space="preserve">se and quantify myocardial ischaemia and/or scar and estimate the risk of MACE. </w:t>
      </w:r>
      <w:r>
        <w:rPr>
          <w:rFonts w:ascii="Calibri" w:hAnsi="Calibri" w:cs="Calibri"/>
          <w:b/>
          <w:bCs/>
          <w:sz w:val="22"/>
          <w:szCs w:val="22"/>
        </w:rPr>
        <w:t>I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Eco-stress con bollicine: se 2 segmenti contigui non si vedono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During stress echocardiography, when two or more contiguous myocardial segments are not visualized, it is rec</w:t>
      </w:r>
      <w:r>
        <w:rPr>
          <w:rFonts w:ascii="Calibri" w:hAnsi="Calibri" w:cs="Calibri"/>
          <w:sz w:val="22"/>
          <w:szCs w:val="22"/>
        </w:rPr>
        <w:t>ommended to use commercially available intravenous ultrasound contrast agents (microbubbles) to improve diagnostic accuracy.</w:t>
      </w:r>
      <w:r>
        <w:rPr>
          <w:rFonts w:ascii="Calibri" w:hAnsi="Calibri" w:cs="Calibri"/>
          <w:b/>
          <w:bCs/>
          <w:sz w:val="22"/>
          <w:szCs w:val="22"/>
        </w:rPr>
        <w:t xml:space="preserve"> I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CGF con pretest &gt; 85% o con angina de novo a basso carico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Invasive coronary angiography is recommended to diagnose obstructive </w:t>
      </w:r>
      <w:r>
        <w:rPr>
          <w:rFonts w:ascii="Calibri" w:hAnsi="Calibri" w:cs="Calibri"/>
          <w:sz w:val="22"/>
          <w:szCs w:val="22"/>
        </w:rPr>
        <w:t>CAD in individuals with a very high (&gt;85%) clinical likelihood of disease, severe symptoms refractory to guideline-directed medical therapy, angina at a low level of exercise, and/or high event risk.</w:t>
      </w:r>
      <w:r>
        <w:rPr>
          <w:rFonts w:ascii="Calibri" w:hAnsi="Calibri" w:cs="Calibri"/>
          <w:b/>
          <w:bCs/>
          <w:sz w:val="22"/>
          <w:szCs w:val="22"/>
        </w:rPr>
        <w:t xml:space="preserve"> I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 individuals with de novo symptoms highly suggestive</w:t>
      </w:r>
      <w:r>
        <w:rPr>
          <w:rFonts w:ascii="Calibri" w:hAnsi="Calibri" w:cs="Calibri"/>
          <w:sz w:val="22"/>
          <w:szCs w:val="22"/>
        </w:rPr>
        <w:t xml:space="preserve"> of obstructive CAD that occur at a low level of exercise, ICA with a view towards revascularization is recommended as first diagnostic test after clinical assessment by a cardiologist.</w:t>
      </w:r>
      <w:r>
        <w:rPr>
          <w:rFonts w:ascii="Calibri" w:hAnsi="Calibri" w:cs="Calibri"/>
          <w:b/>
          <w:bCs/>
          <w:sz w:val="22"/>
          <w:szCs w:val="22"/>
        </w:rPr>
        <w:t xml:space="preserve"> I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Come riclassificare un pretest con rilievi clinici alterati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Questo</w:t>
      </w:r>
      <w:r>
        <w:rPr>
          <w:rFonts w:ascii="Calibri" w:hAnsi="Calibri" w:cs="Calibri"/>
          <w:sz w:val="22"/>
          <w:szCs w:val="22"/>
        </w:rPr>
        <w:t xml:space="preserve"> non è spiegato e non si comprende, salvo intendere che la presenzaa di alcuni elementi, pur non quantizzati, aumentano la probabilità pretest. Si tratta di alterazioni ecg a riposo e da sforzo, disfunzione ventricolare segmentaria e globale, aritmia ventr</w:t>
      </w:r>
      <w:r>
        <w:rPr>
          <w:rFonts w:ascii="Calibri" w:hAnsi="Calibri" w:cs="Calibri"/>
          <w:sz w:val="22"/>
          <w:szCs w:val="22"/>
        </w:rPr>
        <w:t>icolare, arteriopatia periferica, anamnesi di calcificazione coronarica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Come riclassificare un pretest clinico con il calcium score (segui la linea che va dal pretest delle ascisse al calcium score delle ordinate a dx e leggi a sin il risultato) (si util</w:t>
      </w:r>
      <w:r>
        <w:rPr>
          <w:rFonts w:ascii="Calibri" w:hAnsi="Calibri" w:cs="Calibri"/>
          <w:b/>
          <w:bCs/>
          <w:sz w:val="22"/>
          <w:szCs w:val="22"/>
        </w:rPr>
        <w:t>izza per valori 5-15%)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lastRenderedPageBreak/>
        <w:drawing>
          <wp:inline distT="0" distB="0" distL="0" distR="0">
            <wp:extent cx="5800725" cy="2486025"/>
            <wp:effectExtent l="0" t="0" r="9525" b="9525"/>
            <wp:docPr id="2" name="Immagine 2" descr="Coronary artery calcium &#10;score (CACS)-weighted clinical &#10;ikelihood of obstructive CAD (%) &#10;IOO &#10;8 &#10;7 &#10;5 &#10;3 &#10;2 &#10;5 &#10;o &#10;10 20 30 40 50 60 70 80 &#10;CACS 2 &#10;CACS 400-999 &#10;CACS 100-399 &#10;CACS 10—99 &#10;CACS 1-9 &#10;CACS O &#10;Risk Factor-Weighted Clinical Likelihood of obstructive CAD (%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ronary artery calcium &#10;score (CACS)-weighted clinical &#10;ikelihood of obstructive CAD (%) &#10;IOO &#10;8 &#10;7 &#10;5 &#10;3 &#10;2 &#10;5 &#10;o &#10;10 20 30 40 50 60 70 80 &#10;CACS 2 &#10;CACS 400-999 &#10;CACS 100-399 &#10;CACS 10—99 &#10;CACS 1-9 &#10;CACS O &#10;Risk Factor-Weighted Clinical Likelihood of obstructive CAD (%)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Come riclassificare un pretest con TC coronarica (CCTA) o test alla dobutamina (DSE) seguire quest'altro diagramma: </w:t>
      </w:r>
      <w:r>
        <w:rPr>
          <w:rFonts w:ascii="Calibri" w:hAnsi="Calibri" w:cs="Calibri"/>
          <w:sz w:val="22"/>
          <w:szCs w:val="22"/>
        </w:rPr>
        <w:t>ad esempio uno che ha il pretest 27% (vedi freccia B) dopo TC positiva passa a 40% (insufficiente per il rule in). Ora però parte da 40 (ved</w:t>
      </w:r>
      <w:r>
        <w:rPr>
          <w:rFonts w:ascii="Calibri" w:hAnsi="Calibri" w:cs="Calibri"/>
          <w:sz w:val="22"/>
          <w:szCs w:val="22"/>
        </w:rPr>
        <w:t>i diagonale), fa test dobutamina positiva e va a 82%. Se invece era TC negativa, questo era sufficiente per il rule out.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4572000" cy="4457700"/>
            <wp:effectExtent l="0" t="0" r="0" b="0"/>
            <wp:docPr id="3" name="Immagine 3" descr="Post-test likelihood (%) &#10;IOO &#10;20 &#10;20 &#10;DSE + &#10;CCTA + &#10;DSE - &#10;CCTA - &#10;IOO &#10;Pre-test likelihood (%) &#10;@ESC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st-test likelihood (%) &#10;IOO &#10;20 &#10;20 &#10;DSE + &#10;CCTA + &#10;DSE - &#10;CCTA - &#10;IOO &#10;Pre-test likelihood (%) &#10;@ESC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Anche nella sindrome coronarica cronica come secondo antiaggregante si può usare prasugrel o ticagrelor (classe IIb) in casi particolari (problema piano terapeu</w:t>
      </w:r>
      <w:r>
        <w:rPr>
          <w:rFonts w:ascii="Calibri" w:hAnsi="Calibri" w:cs="Calibri"/>
          <w:b/>
          <w:bCs/>
          <w:sz w:val="22"/>
          <w:szCs w:val="22"/>
        </w:rPr>
        <w:t>tico però!)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 CCS patients undergoing high-thrombotic risk stenting (e.g. complex left main stem, 2-stent bifurcation, suboptimal stenting result, prior stent thrombosis, previously known CYP2C19 *2/*3 polymorphisms), prasugrel or ticagrelor (in addition </w:t>
      </w:r>
      <w:r>
        <w:rPr>
          <w:rFonts w:ascii="Calibri" w:hAnsi="Calibri" w:cs="Calibri"/>
          <w:sz w:val="22"/>
          <w:szCs w:val="22"/>
        </w:rPr>
        <w:t xml:space="preserve">to aspirin) may be considered instead of clopidogrel, for the first month, and up to 3–6 months </w:t>
      </w:r>
      <w:r>
        <w:rPr>
          <w:rFonts w:ascii="Calibri" w:hAnsi="Calibri" w:cs="Calibri"/>
          <w:b/>
          <w:bCs/>
          <w:sz w:val="22"/>
          <w:szCs w:val="22"/>
        </w:rPr>
        <w:t>IIb</w:t>
      </w:r>
      <w:r>
        <w:rPr>
          <w:rFonts w:ascii="Calibri" w:hAnsi="Calibri" w:cs="Calibri"/>
          <w:sz w:val="22"/>
          <w:szCs w:val="22"/>
        </w:rPr>
        <w:t>.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Duplice antiaggregante dopo bypass in casi particolari in classe IIb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DAPT may be considered after CABG in selected patients at greater risk of graft occl</w:t>
      </w:r>
      <w:r>
        <w:rPr>
          <w:rFonts w:ascii="Calibri" w:hAnsi="Calibri" w:cs="Calibri"/>
          <w:sz w:val="22"/>
          <w:szCs w:val="22"/>
        </w:rPr>
        <w:t xml:space="preserve">usionf and at low risk of bleeding. </w:t>
      </w:r>
      <w:r>
        <w:rPr>
          <w:rFonts w:ascii="Calibri" w:hAnsi="Calibri" w:cs="Calibri"/>
          <w:b/>
          <w:bCs/>
          <w:sz w:val="22"/>
          <w:szCs w:val="22"/>
        </w:rPr>
        <w:t>IIb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Le statine interagiscono con antiretrovirali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Attention to interaction between antiretroviral treatment and statins is recommended in patients with HIV.</w:t>
      </w:r>
      <w:r>
        <w:rPr>
          <w:rFonts w:ascii="Calibri" w:hAnsi="Calibri" w:cs="Calibri"/>
          <w:b/>
          <w:bCs/>
          <w:sz w:val="22"/>
          <w:szCs w:val="22"/>
        </w:rPr>
        <w:t xml:space="preserve"> I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Per migliorare l'aderenza terapeutica scegliere farmaci in</w:t>
      </w:r>
      <w:r>
        <w:rPr>
          <w:rFonts w:ascii="Calibri" w:hAnsi="Calibri" w:cs="Calibri"/>
          <w:b/>
          <w:bCs/>
          <w:sz w:val="22"/>
          <w:szCs w:val="22"/>
        </w:rPr>
        <w:t xml:space="preserve"> associazione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Simplifying medication regimens (e.g. using fixed-dose drug combinations) is recommended to increase patient adherence to medications. </w:t>
      </w:r>
      <w:r>
        <w:rPr>
          <w:rFonts w:ascii="Calibri" w:hAnsi="Calibri" w:cs="Calibri"/>
          <w:b/>
          <w:bCs/>
          <w:sz w:val="22"/>
          <w:szCs w:val="22"/>
        </w:rPr>
        <w:t>I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Il reducer per ridurre i sintomi è in classe IIb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 patients with debilitating angina and obstructive C</w:t>
      </w:r>
      <w:r>
        <w:rPr>
          <w:rFonts w:ascii="Calibri" w:hAnsi="Calibri" w:cs="Calibri"/>
          <w:sz w:val="22"/>
          <w:szCs w:val="22"/>
        </w:rPr>
        <w:t xml:space="preserve">AD refractory to optimal medical and revascularization strategies, a reducer device for coronary sinus constriction may be considered to improve symptoms, in experienced centres. </w:t>
      </w:r>
      <w:r>
        <w:rPr>
          <w:rFonts w:ascii="Calibri" w:hAnsi="Calibri" w:cs="Calibri"/>
          <w:b/>
          <w:bCs/>
          <w:sz w:val="22"/>
          <w:szCs w:val="22"/>
        </w:rPr>
        <w:t>IIb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ICD prevenzione primaria: FE&lt;= 35%, più di 40 giorni dall'IMA, più di</w:t>
      </w:r>
      <w:r>
        <w:rPr>
          <w:rFonts w:ascii="Calibri" w:hAnsi="Calibri" w:cs="Calibri"/>
          <w:b/>
          <w:bCs/>
          <w:sz w:val="22"/>
          <w:szCs w:val="22"/>
        </w:rPr>
        <w:t xml:space="preserve"> 3 mesi di terapia ottimale, prospettiva di vita almeno un anno, NHYA 2 o 3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 ICD is recommended to reduce the risk of sudden death and all-cause mortality in patients with symptomatic HF (NYHA class II–III) of ischaemic aetiology (unless they have had an</w:t>
      </w:r>
      <w:r>
        <w:rPr>
          <w:rFonts w:ascii="Calibri" w:hAnsi="Calibri" w:cs="Calibri"/>
          <w:sz w:val="22"/>
          <w:szCs w:val="22"/>
        </w:rPr>
        <w:t xml:space="preserve"> MI in the prior 40 days), and an LVEF ≤35% despite ≥3 months of optimized GDMT, provided they are expected to survive substantially longer than 1 year with good functional status. </w:t>
      </w:r>
      <w:r>
        <w:rPr>
          <w:rFonts w:ascii="Calibri" w:hAnsi="Calibri" w:cs="Calibri"/>
          <w:b/>
          <w:bCs/>
          <w:sz w:val="22"/>
          <w:szCs w:val="22"/>
        </w:rPr>
        <w:t>I.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ICD prevenzione secondaria: esclusi eventi entro le 48 ore ed escluse </w:t>
      </w:r>
      <w:r>
        <w:rPr>
          <w:rFonts w:ascii="Calibri" w:hAnsi="Calibri" w:cs="Calibri"/>
          <w:b/>
          <w:bCs/>
          <w:sz w:val="22"/>
          <w:szCs w:val="22"/>
        </w:rPr>
        <w:t>cause correggibili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 ICD is recommended to reduce the risk of sudden death and all-cause mortality in patients who have recovered from a ventricular arrhythmia causing haemodynamic instability, and who are expected to survive for &gt;1 year with good functio</w:t>
      </w:r>
      <w:r>
        <w:rPr>
          <w:rFonts w:ascii="Calibri" w:hAnsi="Calibri" w:cs="Calibri"/>
          <w:sz w:val="22"/>
          <w:szCs w:val="22"/>
        </w:rPr>
        <w:t>nal status, in the absence of reversible causes or unless the ventricular arrhythmia has occurred &lt;48 h after an MI.</w:t>
      </w:r>
      <w:r>
        <w:rPr>
          <w:rFonts w:ascii="Calibri" w:hAnsi="Calibri" w:cs="Calibri"/>
          <w:b/>
          <w:bCs/>
          <w:sz w:val="22"/>
          <w:szCs w:val="22"/>
        </w:rPr>
        <w:t xml:space="preserve"> I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Se deve mettere PMK per blocco, deve essere biventricolare in caso di FE ridotta, a prescindere dall'ampiezza del QRS, </w:t>
      </w:r>
      <w:r>
        <w:rPr>
          <w:rFonts w:ascii="Calibri" w:hAnsi="Calibri" w:cs="Calibri"/>
          <w:b/>
          <w:bCs/>
          <w:sz w:val="22"/>
          <w:szCs w:val="22"/>
        </w:rPr>
        <w:t>dalla classe NHYA e dal ritmo sinusale o fibrillazione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CRT rather than right ventricular pacing is recommended for patients with HFrEF regardless of NYHA class or QRS width who have an indication for ventricular pacing for high-degree AV block in order to </w:t>
      </w:r>
      <w:r>
        <w:rPr>
          <w:rFonts w:ascii="Calibri" w:hAnsi="Calibri" w:cs="Calibri"/>
          <w:sz w:val="22"/>
          <w:szCs w:val="22"/>
        </w:rPr>
        <w:t>reduce morbidity. This includes patients with AF.</w:t>
      </w:r>
      <w:r>
        <w:rPr>
          <w:rFonts w:ascii="Calibri" w:hAnsi="Calibri" w:cs="Calibri"/>
          <w:b/>
          <w:bCs/>
          <w:sz w:val="22"/>
          <w:szCs w:val="22"/>
        </w:rPr>
        <w:t xml:space="preserve"> I.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In classe I la verifica CGF in chi ha peggioramento della funzione ventricolare</w:t>
      </w:r>
    </w:p>
    <w:p w:rsidR="00000000" w:rsidRDefault="005D468E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Reassessment of CAD status is recommended in patients with deteriorating LV systolic function that cannot be attributed t</w:t>
      </w:r>
      <w:r>
        <w:rPr>
          <w:rFonts w:ascii="Calibri" w:hAnsi="Calibri" w:cs="Calibri"/>
          <w:sz w:val="22"/>
          <w:szCs w:val="22"/>
        </w:rPr>
        <w:t>o a reversible cause (e.g. longstanding tachycardia or myocarditis).</w:t>
      </w:r>
      <w:r>
        <w:rPr>
          <w:rFonts w:ascii="Calibri" w:hAnsi="Calibri" w:cs="Calibri"/>
          <w:b/>
          <w:bCs/>
          <w:sz w:val="22"/>
          <w:szCs w:val="22"/>
        </w:rPr>
        <w:t xml:space="preserve"> I</w:t>
      </w:r>
    </w:p>
    <w:sectPr w:rsidR="000000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797CBC"/>
    <w:multiLevelType w:val="multilevel"/>
    <w:tmpl w:val="1FD2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6C35F9F"/>
    <w:multiLevelType w:val="multilevel"/>
    <w:tmpl w:val="38B27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283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D468E"/>
    <w:rsid w:val="005D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DCD30-E530-4A05-A47D-9CE42CE3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Theme="minorEastAsi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semiHidden/>
    <w:unhideWhenUsed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academic.oup.com/eurheartj/advance-article/doi/10.1093/eurheartj/ehae177/7743115?login=fals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2970</Words>
  <Characters>16934</Characters>
  <Application>Microsoft Office Word</Application>
  <DocSecurity>0</DocSecurity>
  <Lines>141</Lines>
  <Paragraphs>39</Paragraphs>
  <ScaleCrop>false</ScaleCrop>
  <Company/>
  <LinksUpToDate>false</LinksUpToDate>
  <CharactersWithSpaces>19865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2</cp:revision>
  <dcterms:created xsi:type="dcterms:W3CDTF">2024-10-25T15:02:00Z</dcterms:created>
  <dcterms:modified xsi:type="dcterms:W3CDTF">2024-10-25T15:02:00Z</dcterms:modified>
</cp:coreProperties>
</file>